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608"/>
        <w:gridCol w:w="5248"/>
      </w:tblGrid>
      <w:tr w:rsidR="00D21D80" w:rsidRPr="00D21D80" w14:paraId="4B9E486D" w14:textId="77777777" w:rsidTr="00D21D80">
        <w:trPr>
          <w:trHeight w:val="851"/>
          <w:tblCellSpacing w:w="0" w:type="dxa"/>
        </w:trPr>
        <w:tc>
          <w:tcPr>
            <w:tcW w:w="3608" w:type="dxa"/>
            <w:shd w:val="clear" w:color="auto" w:fill="FFFFFF"/>
            <w:tcMar>
              <w:top w:w="0" w:type="dxa"/>
              <w:left w:w="108" w:type="dxa"/>
              <w:bottom w:w="0" w:type="dxa"/>
              <w:right w:w="108" w:type="dxa"/>
            </w:tcMar>
            <w:hideMark/>
          </w:tcPr>
          <w:p w14:paraId="232D9901" w14:textId="77777777" w:rsidR="00D21D80" w:rsidRPr="00D21D80" w:rsidRDefault="00D21D80" w:rsidP="00D21D80">
            <w:pPr>
              <w:spacing w:after="0" w:line="234" w:lineRule="atLeast"/>
              <w:jc w:val="center"/>
              <w:rPr>
                <w:rFonts w:eastAsia="Times New Roman" w:cs="Times New Roman"/>
                <w:color w:val="000000"/>
                <w:szCs w:val="28"/>
              </w:rPr>
            </w:pPr>
            <w:r w:rsidRPr="00D21D80">
              <w:rPr>
                <w:rFonts w:eastAsia="Times New Roman" w:cs="Times New Roman"/>
                <w:b/>
                <w:bCs/>
                <w:color w:val="000000"/>
                <w:szCs w:val="28"/>
              </w:rPr>
              <w:t>BAN CHẤP HÀNH TRUNG ƯƠNG</w:t>
            </w:r>
            <w:r w:rsidRPr="00D21D80">
              <w:rPr>
                <w:rFonts w:eastAsia="Times New Roman" w:cs="Times New Roman"/>
                <w:b/>
                <w:bCs/>
                <w:color w:val="000000"/>
                <w:szCs w:val="28"/>
              </w:rPr>
              <w:br/>
              <w:t>*</w:t>
            </w:r>
          </w:p>
        </w:tc>
        <w:tc>
          <w:tcPr>
            <w:tcW w:w="5248" w:type="dxa"/>
            <w:shd w:val="clear" w:color="auto" w:fill="FFFFFF"/>
            <w:tcMar>
              <w:top w:w="0" w:type="dxa"/>
              <w:left w:w="108" w:type="dxa"/>
              <w:bottom w:w="0" w:type="dxa"/>
              <w:right w:w="108" w:type="dxa"/>
            </w:tcMar>
            <w:hideMark/>
          </w:tcPr>
          <w:p w14:paraId="27538EE9" w14:textId="77777777" w:rsidR="00D21D80" w:rsidRPr="00D21D80" w:rsidRDefault="00D21D80" w:rsidP="00D21D80">
            <w:pPr>
              <w:spacing w:after="0" w:line="234" w:lineRule="atLeast"/>
              <w:jc w:val="center"/>
              <w:rPr>
                <w:rFonts w:eastAsia="Times New Roman" w:cs="Times New Roman"/>
                <w:color w:val="000000"/>
                <w:szCs w:val="28"/>
              </w:rPr>
            </w:pPr>
            <w:r w:rsidRPr="00D21D80">
              <w:rPr>
                <w:rFonts w:eastAsia="Times New Roman" w:cs="Times New Roman"/>
                <w:b/>
                <w:bCs/>
                <w:color w:val="000000"/>
                <w:szCs w:val="28"/>
              </w:rPr>
              <w:t>ĐẢNG CỘNG SẢN VIỆT NAM</w:t>
            </w:r>
            <w:r w:rsidRPr="00D21D80">
              <w:rPr>
                <w:rFonts w:eastAsia="Times New Roman" w:cs="Times New Roman"/>
                <w:b/>
                <w:bCs/>
                <w:color w:val="000000"/>
                <w:szCs w:val="28"/>
              </w:rPr>
              <w:br/>
              <w:t>---------------</w:t>
            </w:r>
          </w:p>
        </w:tc>
      </w:tr>
      <w:tr w:rsidR="00D21D80" w:rsidRPr="00D21D80" w14:paraId="50525F28" w14:textId="77777777" w:rsidTr="00D21D80">
        <w:trPr>
          <w:tblCellSpacing w:w="0" w:type="dxa"/>
        </w:trPr>
        <w:tc>
          <w:tcPr>
            <w:tcW w:w="3608" w:type="dxa"/>
            <w:shd w:val="clear" w:color="auto" w:fill="FFFFFF"/>
            <w:tcMar>
              <w:top w:w="0" w:type="dxa"/>
              <w:left w:w="108" w:type="dxa"/>
              <w:bottom w:w="0" w:type="dxa"/>
              <w:right w:w="108" w:type="dxa"/>
            </w:tcMar>
            <w:hideMark/>
          </w:tcPr>
          <w:p w14:paraId="124D57E4" w14:textId="77777777" w:rsidR="00D21D80" w:rsidRPr="00D21D80" w:rsidRDefault="00D21D80" w:rsidP="00D21D80">
            <w:pPr>
              <w:spacing w:after="0" w:line="234" w:lineRule="atLeast"/>
              <w:jc w:val="center"/>
              <w:rPr>
                <w:rFonts w:eastAsia="Times New Roman" w:cs="Times New Roman"/>
                <w:color w:val="000000"/>
                <w:szCs w:val="28"/>
              </w:rPr>
            </w:pPr>
            <w:r w:rsidRPr="00D21D80">
              <w:rPr>
                <w:rFonts w:eastAsia="Times New Roman" w:cs="Times New Roman"/>
                <w:color w:val="000000"/>
                <w:szCs w:val="28"/>
              </w:rPr>
              <w:t>Số: 40-KL/TW</w:t>
            </w:r>
          </w:p>
        </w:tc>
        <w:tc>
          <w:tcPr>
            <w:tcW w:w="5248" w:type="dxa"/>
            <w:shd w:val="clear" w:color="auto" w:fill="FFFFFF"/>
            <w:tcMar>
              <w:top w:w="0" w:type="dxa"/>
              <w:left w:w="108" w:type="dxa"/>
              <w:bottom w:w="0" w:type="dxa"/>
              <w:right w:w="108" w:type="dxa"/>
            </w:tcMar>
            <w:hideMark/>
          </w:tcPr>
          <w:p w14:paraId="3C317495" w14:textId="77777777" w:rsidR="00D21D80" w:rsidRPr="00D21D80" w:rsidRDefault="00D21D80" w:rsidP="00D21D80">
            <w:pPr>
              <w:spacing w:after="0" w:line="234" w:lineRule="atLeast"/>
              <w:jc w:val="right"/>
              <w:rPr>
                <w:rFonts w:eastAsia="Times New Roman" w:cs="Times New Roman"/>
                <w:color w:val="000000"/>
                <w:szCs w:val="28"/>
              </w:rPr>
            </w:pPr>
            <w:r w:rsidRPr="00D21D80">
              <w:rPr>
                <w:rFonts w:eastAsia="Times New Roman" w:cs="Times New Roman"/>
                <w:i/>
                <w:iCs/>
                <w:color w:val="000000"/>
                <w:szCs w:val="28"/>
              </w:rPr>
              <w:t>Hà Nội, ngày 18 tháng 7 năm 2022</w:t>
            </w:r>
          </w:p>
        </w:tc>
      </w:tr>
    </w:tbl>
    <w:p w14:paraId="1312B44C" w14:textId="77777777" w:rsidR="00D21D80" w:rsidRDefault="00D21D80" w:rsidP="00D21D80">
      <w:pPr>
        <w:shd w:val="clear" w:color="auto" w:fill="FFFFFF"/>
        <w:spacing w:after="0" w:line="234" w:lineRule="atLeast"/>
        <w:jc w:val="center"/>
        <w:rPr>
          <w:rFonts w:eastAsia="Times New Roman" w:cs="Times New Roman"/>
          <w:b/>
          <w:bCs/>
          <w:color w:val="000000"/>
          <w:szCs w:val="28"/>
        </w:rPr>
      </w:pPr>
    </w:p>
    <w:p w14:paraId="7D6BCD59" w14:textId="2B7A6F75" w:rsidR="00D21D80" w:rsidRPr="00D21D80" w:rsidRDefault="00D21D80" w:rsidP="00D21D80">
      <w:pPr>
        <w:shd w:val="clear" w:color="auto" w:fill="FFFFFF"/>
        <w:spacing w:after="0" w:line="234" w:lineRule="atLeast"/>
        <w:jc w:val="center"/>
        <w:rPr>
          <w:rFonts w:eastAsia="Times New Roman" w:cs="Times New Roman"/>
          <w:color w:val="000000"/>
          <w:szCs w:val="28"/>
        </w:rPr>
      </w:pPr>
      <w:r w:rsidRPr="00D21D80">
        <w:rPr>
          <w:rFonts w:eastAsia="Times New Roman" w:cs="Times New Roman"/>
          <w:b/>
          <w:bCs/>
          <w:color w:val="000000"/>
          <w:szCs w:val="28"/>
        </w:rPr>
        <w:t>KẾT LUẬN</w:t>
      </w:r>
    </w:p>
    <w:p w14:paraId="2BB1B922" w14:textId="77777777" w:rsidR="00D21D80" w:rsidRPr="00D21D80" w:rsidRDefault="00D21D80" w:rsidP="00D21D80">
      <w:pPr>
        <w:shd w:val="clear" w:color="auto" w:fill="FFFFFF"/>
        <w:spacing w:after="0" w:line="234" w:lineRule="atLeast"/>
        <w:jc w:val="center"/>
        <w:rPr>
          <w:rFonts w:eastAsia="Times New Roman" w:cs="Times New Roman"/>
          <w:color w:val="000000"/>
          <w:szCs w:val="28"/>
        </w:rPr>
      </w:pPr>
      <w:r w:rsidRPr="00D21D80">
        <w:rPr>
          <w:rFonts w:eastAsia="Times New Roman" w:cs="Times New Roman"/>
          <w:color w:val="000000"/>
          <w:szCs w:val="28"/>
        </w:rPr>
        <w:t>CỦA BỘ CHÍNH TRỊ</w:t>
      </w:r>
    </w:p>
    <w:p w14:paraId="5C182A30" w14:textId="77777777" w:rsidR="00D21D80" w:rsidRPr="00D21D80" w:rsidRDefault="00D21D80" w:rsidP="00D21D80">
      <w:pPr>
        <w:shd w:val="clear" w:color="auto" w:fill="FFFFFF"/>
        <w:spacing w:before="120" w:after="120" w:line="234" w:lineRule="atLeast"/>
        <w:jc w:val="center"/>
        <w:rPr>
          <w:rFonts w:eastAsia="Times New Roman" w:cs="Times New Roman"/>
          <w:color w:val="000000"/>
          <w:szCs w:val="28"/>
        </w:rPr>
      </w:pPr>
      <w:r w:rsidRPr="00D21D80">
        <w:rPr>
          <w:rFonts w:eastAsia="Times New Roman" w:cs="Times New Roman"/>
          <w:color w:val="000000"/>
          <w:szCs w:val="28"/>
        </w:rPr>
        <w:t>VỀ NÂNG CAO HIỆU QUẢ CÔNG TÁC QUẢN LÝ BIÊN CHẾ CỦA HỆ THỐNG CHÍNH TRỊ GIAI ĐOẠN 2022 - 2026</w:t>
      </w:r>
    </w:p>
    <w:p w14:paraId="26174F4D" w14:textId="77777777" w:rsidR="00D21D80" w:rsidRPr="00D21D80" w:rsidRDefault="00D21D80" w:rsidP="00D21D80">
      <w:pPr>
        <w:shd w:val="clear" w:color="auto" w:fill="FFFFFF"/>
        <w:spacing w:before="120" w:after="120" w:line="234" w:lineRule="atLeast"/>
        <w:ind w:firstLine="720"/>
        <w:jc w:val="both"/>
        <w:rPr>
          <w:rFonts w:eastAsia="Times New Roman" w:cs="Times New Roman"/>
          <w:color w:val="000000"/>
          <w:szCs w:val="28"/>
        </w:rPr>
      </w:pPr>
      <w:r w:rsidRPr="00D21D80">
        <w:rPr>
          <w:rFonts w:eastAsia="Times New Roman" w:cs="Times New Roman"/>
          <w:color w:val="000000"/>
          <w:szCs w:val="28"/>
        </w:rPr>
        <w:t>Xem xét đề nghị của Ban Chỉ đạo thực hiện quản lý biên chế thống nhất của hệ thống chính trị (gọi tắt là Ban Chỉ đạo) về công tác quản lý biên chế cán bộ, công chức, viên chức của hệ thống chính trị giai đoạn 2016 - 2021 và đề xuất biên chế giai đoạn 2022 - 2026 (Tờ trình số 01-TTr/BCĐ, ngày 26/3/2022), Bộ Chính trị kết luận như sau:</w:t>
      </w:r>
    </w:p>
    <w:p w14:paraId="674A0AF9" w14:textId="77777777" w:rsidR="00D21D80" w:rsidRPr="00D21D80" w:rsidRDefault="00D21D80" w:rsidP="00D21D80">
      <w:pPr>
        <w:shd w:val="clear" w:color="auto" w:fill="FFFFFF"/>
        <w:spacing w:before="120" w:after="120" w:line="234" w:lineRule="atLeast"/>
        <w:ind w:firstLine="720"/>
        <w:jc w:val="both"/>
        <w:rPr>
          <w:rFonts w:eastAsia="Times New Roman" w:cs="Times New Roman"/>
          <w:color w:val="000000"/>
          <w:szCs w:val="28"/>
        </w:rPr>
      </w:pPr>
      <w:r w:rsidRPr="00D21D80">
        <w:rPr>
          <w:rFonts w:eastAsia="Times New Roman" w:cs="Times New Roman"/>
          <w:b/>
          <w:bCs/>
          <w:color w:val="000000"/>
          <w:szCs w:val="28"/>
        </w:rPr>
        <w:t>1.</w:t>
      </w:r>
      <w:r w:rsidRPr="00D21D80">
        <w:rPr>
          <w:rFonts w:eastAsia="Times New Roman" w:cs="Times New Roman"/>
          <w:color w:val="000000"/>
          <w:szCs w:val="28"/>
        </w:rPr>
        <w:t> Tiếp tục đẩy mạnh thực hiện tinh giản biên chế theo Nghị quyết Đại hội XIII của Đảng. Giai đoạn 2021 - 2026, toàn hệ thống chính trị tinh giản ít nhất 5% biên chế cán bộ, công chức và ít nhất 10% biên chế viên chức hưởng lương từ ngân sách nhà nước. Đối với các cơ quan, tổ chức, địa phương, đơn vị chưa thực hiện giảm đủ 10% biên chế giai đoạn 2016 - 2021 thì phải đồng thời vừa thực hiện mục tiêu tinh giản biên chế giai đoạn 2022 - 2026, vừa phải tiếp tục thực hiện chỉ tiêu tinh giản biên chế giai đoạn 2016 - 2021. Những nơi thực hiện vượt chỉ tiêu giai đoạn 2016 - 2021 thì phần vượt được tính vào kết quả thực hiện giai đoạn 2022 - 2026.</w:t>
      </w:r>
    </w:p>
    <w:p w14:paraId="1E93CFAC" w14:textId="77777777" w:rsidR="00D21D80" w:rsidRPr="00D21D80" w:rsidRDefault="00D21D80" w:rsidP="00D21D80">
      <w:pPr>
        <w:shd w:val="clear" w:color="auto" w:fill="FFFFFF"/>
        <w:spacing w:before="120" w:after="120" w:line="234" w:lineRule="atLeast"/>
        <w:ind w:firstLine="720"/>
        <w:jc w:val="both"/>
        <w:rPr>
          <w:rFonts w:eastAsia="Times New Roman" w:cs="Times New Roman"/>
          <w:color w:val="000000"/>
          <w:szCs w:val="28"/>
        </w:rPr>
      </w:pPr>
      <w:r w:rsidRPr="00D21D80">
        <w:rPr>
          <w:rFonts w:eastAsia="Times New Roman" w:cs="Times New Roman"/>
          <w:color w:val="000000"/>
          <w:szCs w:val="28"/>
        </w:rPr>
        <w:t>Trước mắt giữ ổn định số lượng biên chế công đoàn địa phương đã giao vượt so với biên chế được giao. Ban Tổ chức Trung ương chủ trì, phối hợp với Tổng Liên đoàn Lao động Việt Nam và các cấp uỷ, tổ chức đảng liên quan tiến hành kiểm tra, tổng kết, đánh giá tổng thể tình hình quản lý và giao biên chế công đoàn làm cơ sở tham mưu, hướng dẫn việc giao biên chế đối với cơ quan liên đoàn lao động cấp tỉnh, cấp huyện. Sau khi có hướng dẫn giao biên chế đối với cơ quan liên đoàn lao động cấp tỉnh, cấp huyện thì ban thường vụ tỉnh uỷ, thành uỷ thực hiện giao biên chế công đoàn theo quy định trong tổng số biên chế được giao.</w:t>
      </w:r>
    </w:p>
    <w:p w14:paraId="2792AB77" w14:textId="77777777" w:rsidR="00D21D80" w:rsidRPr="00D21D80" w:rsidRDefault="00D21D80" w:rsidP="00D21D80">
      <w:pPr>
        <w:shd w:val="clear" w:color="auto" w:fill="FFFFFF"/>
        <w:spacing w:before="120" w:after="120" w:line="234" w:lineRule="atLeast"/>
        <w:ind w:firstLine="720"/>
        <w:jc w:val="both"/>
        <w:rPr>
          <w:rFonts w:eastAsia="Times New Roman" w:cs="Times New Roman"/>
          <w:color w:val="000000"/>
          <w:szCs w:val="28"/>
        </w:rPr>
      </w:pPr>
      <w:r w:rsidRPr="00D21D80">
        <w:rPr>
          <w:rFonts w:eastAsia="Times New Roman" w:cs="Times New Roman"/>
          <w:b/>
          <w:bCs/>
          <w:color w:val="000000"/>
          <w:szCs w:val="28"/>
        </w:rPr>
        <w:t>2. </w:t>
      </w:r>
      <w:r w:rsidRPr="00D21D80">
        <w:rPr>
          <w:rFonts w:eastAsia="Times New Roman" w:cs="Times New Roman"/>
          <w:color w:val="000000"/>
          <w:szCs w:val="28"/>
        </w:rPr>
        <w:t>Biên chế được giao giai đoạn 2022 - 2026 không bao gồm lao động hợp đồng. Các cơ quan, tổ chức, đơn vị tự quyết định việc sử dụng hợp đồng lao động và trả lương, phụ cấp cho lao động hợp đồng theo quy định từ ngân sách chi thường xuyên của cơ quan, đơn vị.</w:t>
      </w:r>
    </w:p>
    <w:p w14:paraId="40C8ADA0" w14:textId="77777777" w:rsidR="00D21D80" w:rsidRPr="00D21D80" w:rsidRDefault="00D21D80" w:rsidP="00D21D80">
      <w:pPr>
        <w:shd w:val="clear" w:color="auto" w:fill="FFFFFF"/>
        <w:spacing w:before="120" w:after="120" w:line="234" w:lineRule="atLeast"/>
        <w:ind w:firstLine="720"/>
        <w:jc w:val="both"/>
        <w:rPr>
          <w:rFonts w:eastAsia="Times New Roman" w:cs="Times New Roman"/>
          <w:color w:val="000000"/>
          <w:szCs w:val="28"/>
        </w:rPr>
      </w:pPr>
      <w:r w:rsidRPr="00D21D80">
        <w:rPr>
          <w:rFonts w:eastAsia="Times New Roman" w:cs="Times New Roman"/>
          <w:b/>
          <w:bCs/>
          <w:color w:val="000000"/>
          <w:szCs w:val="28"/>
        </w:rPr>
        <w:t>3.</w:t>
      </w:r>
      <w:r w:rsidRPr="00D21D80">
        <w:rPr>
          <w:rFonts w:eastAsia="Times New Roman" w:cs="Times New Roman"/>
          <w:color w:val="000000"/>
          <w:szCs w:val="28"/>
        </w:rPr>
        <w:t> Bộ Chính trị uỷ quyền cho Ban Chỉ đạo xem xét, quyết định sử dụng biên chế dự phòng khi cần thiết (biên chế dự phòng khoảng 0,5% tổng biên chế). Ban Tổ chức Trung ương, Đảng đoàn Quốc hội, Ban cán sự đảng Chính phủ, Văn phòng Chủ tịch nước, Quân uỷ Trung ương, Đảng uỷ Công an Trung ương, Ban cán sự đảng Toà án nhân dân tối cao, Ban cán sự đảng Viện Kiểm sát nhân dân tối cao, Ban cán sự đảng Kiểm toán Nhà nước quản lý biên chế các cơ quan, tổ chức, địa phương, đơn vị trực thuộc theo thẩm quyền.</w:t>
      </w:r>
    </w:p>
    <w:p w14:paraId="6DB9B235" w14:textId="77777777" w:rsidR="00D21D80" w:rsidRPr="00D21D80" w:rsidRDefault="00D21D80" w:rsidP="00D21D80">
      <w:pPr>
        <w:shd w:val="clear" w:color="auto" w:fill="FFFFFF"/>
        <w:spacing w:before="120" w:after="120" w:line="234" w:lineRule="atLeast"/>
        <w:ind w:firstLine="720"/>
        <w:jc w:val="both"/>
        <w:rPr>
          <w:rFonts w:eastAsia="Times New Roman" w:cs="Times New Roman"/>
          <w:color w:val="000000"/>
          <w:szCs w:val="28"/>
        </w:rPr>
      </w:pPr>
      <w:r w:rsidRPr="00D21D80">
        <w:rPr>
          <w:rFonts w:eastAsia="Times New Roman" w:cs="Times New Roman"/>
          <w:color w:val="000000"/>
          <w:szCs w:val="28"/>
        </w:rPr>
        <w:lastRenderedPageBreak/>
        <w:t>Các cơ quan, tổ chức được giao thẩm quyền quản lý biên chế chịu trách nhiệm lãnh đạo, chỉ đạo, phối hợp triển khai chủ trương, quyết định của Bộ Chính trị và thực hiện thẩm quyền giao, quản lý biên chế theo quy định; kiểm tra, giám sát việc thực hiện quản lý, sử dụng biên chế của các cơ quan, tổ chức, địa phương, đơn vị thuộc thẩm quyền.</w:t>
      </w:r>
    </w:p>
    <w:p w14:paraId="07F6885A" w14:textId="77777777" w:rsidR="00D21D80" w:rsidRPr="00D21D80" w:rsidRDefault="00D21D80" w:rsidP="00D21D80">
      <w:pPr>
        <w:shd w:val="clear" w:color="auto" w:fill="FFFFFF"/>
        <w:spacing w:before="120" w:after="120" w:line="234" w:lineRule="atLeast"/>
        <w:ind w:firstLine="720"/>
        <w:jc w:val="both"/>
        <w:rPr>
          <w:rFonts w:eastAsia="Times New Roman" w:cs="Times New Roman"/>
          <w:color w:val="000000"/>
          <w:szCs w:val="28"/>
        </w:rPr>
      </w:pPr>
      <w:r w:rsidRPr="00D21D80">
        <w:rPr>
          <w:rFonts w:eastAsia="Times New Roman" w:cs="Times New Roman"/>
          <w:b/>
          <w:bCs/>
          <w:color w:val="000000"/>
          <w:szCs w:val="28"/>
        </w:rPr>
        <w:t>4. </w:t>
      </w:r>
      <w:r w:rsidRPr="00D21D80">
        <w:rPr>
          <w:rFonts w:eastAsia="Times New Roman" w:cs="Times New Roman"/>
          <w:color w:val="000000"/>
          <w:szCs w:val="28"/>
        </w:rPr>
        <w:t>Các cấp uỷ, tổ chức đảng trực thuộc Trung ương chịu trách nhiệm lãnh đạo, chỉ đạo, tổ chức thực hiện nghiêm túc, hiệu quả chủ trương, quy định của Đảng, pháp luật của Nhà nước về quản lý, sử dụng biên chế ở địa phương, cơ quan, đơn vị; trực tiếp quản lý biên chế được giao, lãnh đạo, chỉ đạo, triển khai giao biên chế cho các cơ quan, tổ chức, địa phương, đơn vị trực thuộc bảo đảm chặt chẽ, hiệu quả, đúng quy định.</w:t>
      </w:r>
    </w:p>
    <w:p w14:paraId="17D9AA28" w14:textId="77777777" w:rsidR="00D21D80" w:rsidRPr="00D21D80" w:rsidRDefault="00D21D80" w:rsidP="00D21D80">
      <w:pPr>
        <w:shd w:val="clear" w:color="auto" w:fill="FFFFFF"/>
        <w:spacing w:before="120" w:after="120" w:line="234" w:lineRule="atLeast"/>
        <w:ind w:firstLine="720"/>
        <w:jc w:val="both"/>
        <w:rPr>
          <w:rFonts w:eastAsia="Times New Roman" w:cs="Times New Roman"/>
          <w:color w:val="000000"/>
          <w:szCs w:val="28"/>
        </w:rPr>
      </w:pPr>
      <w:r w:rsidRPr="00D21D80">
        <w:rPr>
          <w:rFonts w:eastAsia="Times New Roman" w:cs="Times New Roman"/>
          <w:b/>
          <w:bCs/>
          <w:color w:val="000000"/>
          <w:szCs w:val="28"/>
        </w:rPr>
        <w:t>5. </w:t>
      </w:r>
      <w:r w:rsidRPr="00D21D80">
        <w:rPr>
          <w:rFonts w:eastAsia="Times New Roman" w:cs="Times New Roman"/>
          <w:color w:val="000000"/>
          <w:szCs w:val="28"/>
        </w:rPr>
        <w:t>Đảng đoàn Quốc hội, Ban cán sự đảng Chính phủ lãnh đạo, chỉ đạo rà soát, bổ sung, sửa đổi các văn bản quy phạm pháp luật có liên quan, bảo đảm đồng bộ, thống nhất với chủ trương, quy định của Đảng về quản lý biên chế.</w:t>
      </w:r>
    </w:p>
    <w:p w14:paraId="1461829F" w14:textId="77777777" w:rsidR="00D21D80" w:rsidRPr="00D21D80" w:rsidRDefault="00D21D80" w:rsidP="00D21D80">
      <w:pPr>
        <w:shd w:val="clear" w:color="auto" w:fill="FFFFFF"/>
        <w:spacing w:before="120" w:after="120" w:line="234" w:lineRule="atLeast"/>
        <w:ind w:firstLine="720"/>
        <w:jc w:val="both"/>
        <w:rPr>
          <w:rFonts w:eastAsia="Times New Roman" w:cs="Times New Roman"/>
          <w:color w:val="000000"/>
          <w:szCs w:val="28"/>
        </w:rPr>
      </w:pPr>
      <w:r w:rsidRPr="00D21D80">
        <w:rPr>
          <w:rFonts w:eastAsia="Times New Roman" w:cs="Times New Roman"/>
          <w:b/>
          <w:bCs/>
          <w:color w:val="000000"/>
          <w:szCs w:val="28"/>
        </w:rPr>
        <w:t>6. </w:t>
      </w:r>
      <w:r w:rsidRPr="00D21D80">
        <w:rPr>
          <w:rFonts w:eastAsia="Times New Roman" w:cs="Times New Roman"/>
          <w:color w:val="000000"/>
          <w:szCs w:val="28"/>
        </w:rPr>
        <w:t>Ban Tổ chức Trung ương hoàn thành danh mục vị trí việc làm</w:t>
      </w:r>
      <w:r w:rsidRPr="00D21D80">
        <w:rPr>
          <w:rFonts w:eastAsia="Times New Roman" w:cs="Times New Roman"/>
          <w:b/>
          <w:bCs/>
          <w:color w:val="000000"/>
          <w:szCs w:val="28"/>
        </w:rPr>
        <w:t> </w:t>
      </w:r>
      <w:r w:rsidRPr="00D21D80">
        <w:rPr>
          <w:rFonts w:eastAsia="Times New Roman" w:cs="Times New Roman"/>
          <w:color w:val="000000"/>
          <w:szCs w:val="28"/>
        </w:rPr>
        <w:t>trong hệ thống chính trị; giúp Bộ Chính trị, Ban Bí thư, Ban Chỉ đạo hướng dẫn, kiểm tra, đôn đốc thực hiện công tác quản lý biên chế; định kỳ hoặc khi cần thiết báo cáo Bộ Chính trị, Ban Chỉ đạo.</w:t>
      </w:r>
    </w:p>
    <w:p w14:paraId="7BDCC92D" w14:textId="77777777" w:rsidR="00D21D80" w:rsidRPr="00D21D80" w:rsidRDefault="00D21D80" w:rsidP="00D21D80">
      <w:pPr>
        <w:shd w:val="clear" w:color="auto" w:fill="FFFFFF"/>
        <w:spacing w:before="120" w:after="120" w:line="234" w:lineRule="atLeast"/>
        <w:rPr>
          <w:rFonts w:eastAsia="Times New Roman" w:cs="Times New Roman"/>
          <w:color w:val="000000"/>
          <w:szCs w:val="28"/>
        </w:rPr>
      </w:pPr>
      <w:r w:rsidRPr="00D21D80">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21D80" w:rsidRPr="00D21D80" w14:paraId="3754DF49" w14:textId="77777777" w:rsidTr="00D21D80">
        <w:trPr>
          <w:tblCellSpacing w:w="0" w:type="dxa"/>
        </w:trPr>
        <w:tc>
          <w:tcPr>
            <w:tcW w:w="4428" w:type="dxa"/>
            <w:shd w:val="clear" w:color="auto" w:fill="FFFFFF"/>
            <w:tcMar>
              <w:top w:w="0" w:type="dxa"/>
              <w:left w:w="108" w:type="dxa"/>
              <w:bottom w:w="0" w:type="dxa"/>
              <w:right w:w="108" w:type="dxa"/>
            </w:tcMar>
            <w:hideMark/>
          </w:tcPr>
          <w:p w14:paraId="601EC51F" w14:textId="6712CEC8" w:rsidR="00D21D80" w:rsidRPr="00D21D80" w:rsidRDefault="00D21D80" w:rsidP="00D21D80">
            <w:pPr>
              <w:spacing w:before="120" w:after="120" w:line="234" w:lineRule="atLeast"/>
              <w:rPr>
                <w:rFonts w:eastAsia="Times New Roman" w:cs="Times New Roman"/>
                <w:color w:val="000000"/>
                <w:sz w:val="24"/>
                <w:szCs w:val="24"/>
              </w:rPr>
            </w:pPr>
            <w:r w:rsidRPr="00D21D80">
              <w:rPr>
                <w:rFonts w:eastAsia="Times New Roman" w:cs="Times New Roman"/>
                <w:b/>
                <w:bCs/>
                <w:i/>
                <w:iCs/>
                <w:color w:val="000000"/>
                <w:sz w:val="24"/>
                <w:szCs w:val="24"/>
              </w:rPr>
              <w:t>Nơi nhận:</w:t>
            </w:r>
            <w:r w:rsidRPr="00D21D80">
              <w:rPr>
                <w:rFonts w:eastAsia="Times New Roman" w:cs="Times New Roman"/>
                <w:b/>
                <w:bCs/>
                <w:i/>
                <w:iCs/>
                <w:color w:val="000000"/>
                <w:sz w:val="24"/>
                <w:szCs w:val="24"/>
              </w:rPr>
              <w:br/>
            </w:r>
            <w:r w:rsidRPr="00D21D80">
              <w:rPr>
                <w:rFonts w:eastAsia="Times New Roman" w:cs="Times New Roman"/>
                <w:color w:val="000000"/>
                <w:sz w:val="24"/>
                <w:szCs w:val="24"/>
              </w:rPr>
              <w:t>- Các tỉnh uỷ, thành uỷ,</w:t>
            </w:r>
            <w:r w:rsidRPr="00D21D80">
              <w:rPr>
                <w:rFonts w:eastAsia="Times New Roman" w:cs="Times New Roman"/>
                <w:color w:val="000000"/>
                <w:sz w:val="24"/>
                <w:szCs w:val="24"/>
              </w:rPr>
              <w:br/>
              <w:t>- Các ban đảng, ban cán sự đảng, đảng đoàn, đảng uỷ trực thuộc Trung ương,</w:t>
            </w:r>
            <w:r w:rsidRPr="00D21D80">
              <w:rPr>
                <w:rFonts w:eastAsia="Times New Roman" w:cs="Times New Roman"/>
                <w:color w:val="000000"/>
                <w:sz w:val="24"/>
                <w:szCs w:val="24"/>
              </w:rPr>
              <w:br/>
              <w:t>- Các đảng uỷ đơn vị sự nghiệp Trung ương,</w:t>
            </w:r>
            <w:r w:rsidRPr="00D21D80">
              <w:rPr>
                <w:rFonts w:eastAsia="Times New Roman" w:cs="Times New Roman"/>
                <w:color w:val="000000"/>
                <w:sz w:val="24"/>
                <w:szCs w:val="24"/>
              </w:rPr>
              <w:br/>
              <w:t>- Ban Bí thư Trung ương Đoàn Thanh niên Cộng sản Hồ Chí Minh,</w:t>
            </w:r>
            <w:r w:rsidRPr="00D21D80">
              <w:rPr>
                <w:rFonts w:eastAsia="Times New Roman" w:cs="Times New Roman"/>
                <w:color w:val="000000"/>
                <w:sz w:val="24"/>
                <w:szCs w:val="24"/>
              </w:rPr>
              <w:br/>
              <w:t>- Các đồng chí Uỷ viên Ban Chấp hành Trung ương Đảng,</w:t>
            </w:r>
            <w:r w:rsidRPr="00D21D80">
              <w:rPr>
                <w:rFonts w:eastAsia="Times New Roman" w:cs="Times New Roman"/>
                <w:color w:val="000000"/>
                <w:sz w:val="24"/>
                <w:szCs w:val="24"/>
              </w:rPr>
              <w:br/>
              <w:t>- Lưu Văn phòng Trung ương Đảng.</w:t>
            </w:r>
          </w:p>
        </w:tc>
        <w:tc>
          <w:tcPr>
            <w:tcW w:w="4428" w:type="dxa"/>
            <w:shd w:val="clear" w:color="auto" w:fill="FFFFFF"/>
            <w:tcMar>
              <w:top w:w="0" w:type="dxa"/>
              <w:left w:w="108" w:type="dxa"/>
              <w:bottom w:w="0" w:type="dxa"/>
              <w:right w:w="108" w:type="dxa"/>
            </w:tcMar>
            <w:hideMark/>
          </w:tcPr>
          <w:p w14:paraId="177D272E" w14:textId="6D2A2139" w:rsidR="00D21D80" w:rsidRPr="00D21D80" w:rsidRDefault="00D21D80" w:rsidP="00D21D80">
            <w:pPr>
              <w:spacing w:before="120" w:after="120" w:line="234" w:lineRule="atLeast"/>
              <w:jc w:val="center"/>
              <w:rPr>
                <w:rFonts w:eastAsia="Times New Roman" w:cs="Times New Roman"/>
                <w:color w:val="000000"/>
                <w:szCs w:val="28"/>
              </w:rPr>
            </w:pPr>
            <w:r w:rsidRPr="00D21D80">
              <w:rPr>
                <w:rFonts w:eastAsia="Times New Roman" w:cs="Times New Roman"/>
                <w:b/>
                <w:bCs/>
                <w:color w:val="000000"/>
                <w:szCs w:val="28"/>
              </w:rPr>
              <w:t>T/M BỘ CHÍNH TRỊ</w:t>
            </w:r>
            <w:r w:rsidRPr="00D21D80">
              <w:rPr>
                <w:rFonts w:eastAsia="Times New Roman" w:cs="Times New Roman"/>
                <w:b/>
                <w:bCs/>
                <w:color w:val="000000"/>
                <w:szCs w:val="28"/>
              </w:rPr>
              <w:br/>
            </w:r>
            <w:r w:rsidRPr="00D21D80">
              <w:rPr>
                <w:rFonts w:eastAsia="Times New Roman" w:cs="Times New Roman"/>
                <w:b/>
                <w:bCs/>
                <w:color w:val="000000"/>
                <w:szCs w:val="28"/>
              </w:rPr>
              <w:br/>
            </w:r>
            <w:r w:rsidR="00904FD2">
              <w:rPr>
                <w:rFonts w:eastAsia="Times New Roman" w:cs="Times New Roman"/>
                <w:b/>
                <w:bCs/>
                <w:color w:val="000000"/>
                <w:szCs w:val="28"/>
              </w:rPr>
              <w:t>(ĐÃ KÝ)</w:t>
            </w:r>
            <w:bookmarkStart w:id="0" w:name="_GoBack"/>
            <w:bookmarkEnd w:id="0"/>
            <w:r w:rsidRPr="00D21D80">
              <w:rPr>
                <w:rFonts w:eastAsia="Times New Roman" w:cs="Times New Roman"/>
                <w:b/>
                <w:bCs/>
                <w:color w:val="000000"/>
                <w:szCs w:val="28"/>
              </w:rPr>
              <w:br/>
            </w:r>
            <w:r w:rsidRPr="00D21D80">
              <w:rPr>
                <w:rFonts w:eastAsia="Times New Roman" w:cs="Times New Roman"/>
                <w:b/>
                <w:bCs/>
                <w:color w:val="000000"/>
                <w:szCs w:val="28"/>
              </w:rPr>
              <w:br/>
            </w:r>
            <w:r w:rsidRPr="00D21D80">
              <w:rPr>
                <w:rFonts w:eastAsia="Times New Roman" w:cs="Times New Roman"/>
                <w:b/>
                <w:bCs/>
                <w:color w:val="000000"/>
                <w:szCs w:val="28"/>
              </w:rPr>
              <w:br/>
              <w:t>Võ Văn Thưởng</w:t>
            </w:r>
          </w:p>
        </w:tc>
      </w:tr>
    </w:tbl>
    <w:p w14:paraId="476BDA7F" w14:textId="77777777" w:rsidR="00286DC4" w:rsidRPr="00D21D80" w:rsidRDefault="00286DC4">
      <w:pPr>
        <w:rPr>
          <w:rFonts w:cs="Times New Roman"/>
          <w:szCs w:val="28"/>
        </w:rPr>
      </w:pPr>
    </w:p>
    <w:sectPr w:rsidR="00286DC4" w:rsidRPr="00D21D80" w:rsidSect="00287E16">
      <w:pgSz w:w="12240" w:h="15840"/>
      <w:pgMar w:top="1021" w:right="85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80"/>
    <w:rsid w:val="00286DC4"/>
    <w:rsid w:val="00287E16"/>
    <w:rsid w:val="005408AF"/>
    <w:rsid w:val="00904FD2"/>
    <w:rsid w:val="00D21D80"/>
    <w:rsid w:val="00DC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3D01"/>
  <w15:chartTrackingRefBased/>
  <w15:docId w15:val="{1AAA2738-B285-4B3A-BCFF-8402AADF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D8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Admin</cp:lastModifiedBy>
  <cp:revision>7</cp:revision>
  <dcterms:created xsi:type="dcterms:W3CDTF">2022-08-02T01:53:00Z</dcterms:created>
  <dcterms:modified xsi:type="dcterms:W3CDTF">2022-08-04T07:27:00Z</dcterms:modified>
</cp:coreProperties>
</file>